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32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32ª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09/09/2022</w:t>
      </w:r>
      <w:r>
        <w:rPr>
          <w:w w:val="115"/>
        </w:rPr>
        <w:t> -</w:t>
      </w:r>
      <w:r>
        <w:rPr>
          <w:w w:val="115"/>
        </w:rPr>
        <w:t> 10:00</w:t>
      </w:r>
      <w:r>
        <w:rPr>
          <w:w w:val="115"/>
        </w:rPr>
        <w:t> ; Encerramento: 09/09/2022 - 11:30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spacing w:before="200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200"/>
        <w:ind w:left="44" w:right="43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Abre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spacing w:val="80"/>
          <w:w w:val="115"/>
        </w:rPr>
        <w:t> </w:t>
      </w:r>
      <w:r>
        <w:rPr>
          <w:w w:val="115"/>
        </w:rPr>
        <w:t>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721,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 2ª Votação. Autor: Rosangela de Moura Maniçoba Novaes Ferraz - Prefeita, Número de Protocolo: 722, Tipo: Simbólica, Sim: 12, Não: 0, Abstenções: 0, Resultado: Aprovado ;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771,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Resolução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Altera</w:t>
      </w:r>
      <w:r>
        <w:rPr>
          <w:w w:val="115"/>
        </w:rPr>
        <w:t> dispositivo</w:t>
      </w:r>
      <w:r>
        <w:rPr>
          <w:w w:val="115"/>
        </w:rPr>
        <w:t> do</w:t>
      </w:r>
      <w:r>
        <w:rPr>
          <w:w w:val="115"/>
        </w:rPr>
        <w:t> Regimento</w:t>
      </w:r>
      <w:r>
        <w:rPr>
          <w:w w:val="115"/>
        </w:rPr>
        <w:t> Interno</w:t>
      </w:r>
      <w:r>
        <w:rPr>
          <w:w w:val="115"/>
        </w:rPr>
        <w:t> da</w:t>
      </w:r>
      <w:r>
        <w:rPr>
          <w:w w:val="115"/>
        </w:rPr>
        <w:t> Câmara</w:t>
      </w:r>
      <w:r>
        <w:rPr>
          <w:w w:val="115"/>
        </w:rPr>
        <w:t> de Vereadores</w:t>
      </w:r>
      <w:r>
        <w:rPr>
          <w:w w:val="115"/>
        </w:rPr>
        <w:t> de</w:t>
      </w:r>
      <w:r>
        <w:rPr>
          <w:w w:val="115"/>
        </w:rPr>
        <w:t> Floresta-PE.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 Presidente, Tipo: Simbólica, Sim: 7, Não: 6, Abstenções: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790575</wp:posOffset>
                </wp:positionH>
                <wp:positionV relativeFrom="paragraph">
                  <wp:posOffset>-58753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26238pt;width:470.777pt;height:.75pt;mso-position-horizontal-relative:page;mso-position-vertical-relative:paragraph;z-index:1572966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246181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84348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246181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84348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19776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19264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1875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824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08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028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2025-07-21T16:54:16Z</dcterms:created>
  <dcterms:modified xsi:type="dcterms:W3CDTF">2025-07-21T16:54:16Z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