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6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36ª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16/08/2023</w:t>
      </w:r>
      <w:r>
        <w:rPr>
          <w:w w:val="115"/>
        </w:rPr>
        <w:t> -</w:t>
      </w:r>
      <w:r>
        <w:rPr>
          <w:w w:val="115"/>
        </w:rPr>
        <w:t> 12:40</w:t>
      </w:r>
      <w:r>
        <w:rPr>
          <w:w w:val="115"/>
        </w:rPr>
        <w:t> ; Encerramento: 16/08/2023 - 13:20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4" w:right="45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Abre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604,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1,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1,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especial</w:t>
      </w:r>
      <w:r>
        <w:rPr>
          <w:w w:val="115"/>
        </w:rPr>
        <w:t> e</w:t>
      </w:r>
      <w:r>
        <w:rPr>
          <w:w w:val="115"/>
        </w:rPr>
        <w:t>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1,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-58514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7477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246423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3391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246423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3391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977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926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875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824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08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028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2025-07-21T14:47:31Z</dcterms:created>
  <dcterms:modified xsi:type="dcterms:W3CDTF">2025-07-21T14:47:31Z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